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467DC3" w:rsidRDefault="00744830" w:rsidP="00744830">
      <w:pPr>
        <w:pStyle w:val="CRCoverPage"/>
        <w:tabs>
          <w:tab w:val="right" w:pos="9639"/>
        </w:tabs>
        <w:spacing w:after="0"/>
        <w:rPr>
          <w:rFonts w:cs="Arial"/>
          <w:b/>
          <w:noProof/>
          <w:sz w:val="24"/>
        </w:rPr>
      </w:pPr>
    </w:p>
    <w:p w14:paraId="6ADCBA5C" w14:textId="406455F1" w:rsidR="001D77EC" w:rsidRPr="00467DC3" w:rsidRDefault="001D77EC" w:rsidP="001D77EC">
      <w:pPr>
        <w:pStyle w:val="CRCoverPage"/>
        <w:tabs>
          <w:tab w:val="right" w:pos="9639"/>
        </w:tabs>
        <w:spacing w:after="0"/>
        <w:rPr>
          <w:b/>
          <w:i/>
          <w:noProof/>
          <w:sz w:val="28"/>
        </w:rPr>
      </w:pPr>
      <w:bookmarkStart w:id="0" w:name="_Hlk61177671"/>
      <w:r w:rsidRPr="00467DC3">
        <w:rPr>
          <w:b/>
          <w:noProof/>
          <w:sz w:val="24"/>
        </w:rPr>
        <w:t>3GPP TSG-RAN WG4 Meeting #</w:t>
      </w:r>
      <w:r>
        <w:rPr>
          <w:b/>
          <w:noProof/>
          <w:sz w:val="24"/>
        </w:rPr>
        <w:t>101</w:t>
      </w:r>
      <w:r w:rsidRPr="00467DC3">
        <w:rPr>
          <w:b/>
          <w:noProof/>
          <w:sz w:val="24"/>
        </w:rPr>
        <w:t>-e</w:t>
      </w:r>
      <w:r w:rsidRPr="00467DC3">
        <w:rPr>
          <w:b/>
          <w:i/>
          <w:noProof/>
          <w:sz w:val="28"/>
        </w:rPr>
        <w:tab/>
        <w:t>R4-2</w:t>
      </w:r>
      <w:r>
        <w:rPr>
          <w:b/>
          <w:i/>
          <w:noProof/>
          <w:sz w:val="28"/>
        </w:rPr>
        <w:t>11</w:t>
      </w:r>
      <w:r w:rsidR="00913873">
        <w:rPr>
          <w:b/>
          <w:i/>
          <w:noProof/>
          <w:sz w:val="28"/>
        </w:rPr>
        <w:t>8156</w:t>
      </w:r>
    </w:p>
    <w:p w14:paraId="30E65C86" w14:textId="77777777" w:rsidR="001D77EC" w:rsidRPr="00467DC3" w:rsidRDefault="001D77EC" w:rsidP="001D77EC">
      <w:pPr>
        <w:pStyle w:val="Header"/>
        <w:tabs>
          <w:tab w:val="right" w:pos="9781"/>
          <w:tab w:val="right" w:pos="13323"/>
        </w:tabs>
        <w:outlineLvl w:val="0"/>
        <w:rPr>
          <w:rFonts w:eastAsia="SimSun"/>
          <w:sz w:val="24"/>
          <w:szCs w:val="24"/>
          <w:lang w:eastAsia="zh-CN"/>
        </w:rPr>
      </w:pPr>
      <w:r w:rsidRPr="00467DC3">
        <w:rPr>
          <w:sz w:val="24"/>
        </w:rPr>
        <w:t xml:space="preserve">Electronic meeting, </w:t>
      </w:r>
      <w:r>
        <w:rPr>
          <w:sz w:val="24"/>
        </w:rPr>
        <w:t>November 1</w:t>
      </w:r>
      <w:r w:rsidRPr="001300CB">
        <w:rPr>
          <w:sz w:val="24"/>
          <w:vertAlign w:val="superscript"/>
        </w:rPr>
        <w:t>st</w:t>
      </w:r>
      <w:r>
        <w:rPr>
          <w:sz w:val="24"/>
        </w:rPr>
        <w:t xml:space="preserve"> – 12</w:t>
      </w:r>
      <w:r w:rsidRPr="001300CB">
        <w:rPr>
          <w:sz w:val="24"/>
          <w:vertAlign w:val="superscript"/>
        </w:rPr>
        <w:t>th</w:t>
      </w:r>
      <w:r>
        <w:rPr>
          <w:sz w:val="24"/>
        </w:rPr>
        <w:t>,</w:t>
      </w:r>
      <w:r w:rsidRPr="00467DC3">
        <w:rPr>
          <w:sz w:val="24"/>
        </w:rPr>
        <w:t xml:space="preserve"> 202</w:t>
      </w:r>
      <w:r>
        <w:rPr>
          <w:sz w:val="24"/>
        </w:rPr>
        <w:t>1</w:t>
      </w:r>
    </w:p>
    <w:bookmarkEnd w:id="0"/>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A8510DE" w:rsidR="00744830" w:rsidRPr="00467DC3" w:rsidRDefault="00744830" w:rsidP="00744830">
      <w:r w:rsidRPr="00467DC3">
        <w:rPr>
          <w:b/>
        </w:rPr>
        <w:t>Title:</w:t>
      </w:r>
      <w:r w:rsidRPr="00467DC3">
        <w:tab/>
      </w:r>
      <w:r w:rsidRPr="00467DC3">
        <w:tab/>
      </w:r>
      <w:r w:rsidRPr="00467DC3">
        <w:tab/>
      </w:r>
      <w:r w:rsidR="00807EBA">
        <w:t xml:space="preserve">NTN: </w:t>
      </w:r>
      <w:r w:rsidR="00E43B0E">
        <w:t>General</w:t>
      </w:r>
    </w:p>
    <w:p w14:paraId="38171D17" w14:textId="523D8047" w:rsidR="00744830" w:rsidRPr="00467DC3" w:rsidRDefault="00744830" w:rsidP="00744830">
      <w:r w:rsidRPr="00467DC3">
        <w:rPr>
          <w:b/>
        </w:rPr>
        <w:t>Agenda item:</w:t>
      </w:r>
      <w:r w:rsidRPr="00467DC3">
        <w:tab/>
      </w:r>
      <w:r w:rsidRPr="00467DC3">
        <w:tab/>
      </w:r>
      <w:r w:rsidR="0024145D">
        <w:t>8.13.1.4</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7777777" w:rsidR="00744830" w:rsidRPr="00467DC3" w:rsidRDefault="00744830" w:rsidP="00744830">
      <w:pPr>
        <w:pStyle w:val="Heading1"/>
        <w:rPr>
          <w:rFonts w:cs="Arial"/>
          <w:lang w:val="en-US"/>
        </w:rPr>
      </w:pPr>
      <w:r w:rsidRPr="00467DC3">
        <w:rPr>
          <w:rFonts w:cs="Arial"/>
          <w:lang w:val="en-US"/>
        </w:rPr>
        <w:t>Introduction</w:t>
      </w:r>
    </w:p>
    <w:p w14:paraId="45A5EF41" w14:textId="68B7C9F9" w:rsidR="004F05E7" w:rsidRDefault="004F05E7" w:rsidP="004F05E7">
      <w:pPr>
        <w:shd w:val="clear" w:color="auto" w:fill="FFFFFF"/>
        <w:rPr>
          <w:rFonts w:eastAsia="MS Mincho"/>
          <w:lang w:val="en-US" w:eastAsia="ja-JP"/>
        </w:rPr>
      </w:pPr>
      <w:r>
        <w:rPr>
          <w:rFonts w:eastAsia="MS Mincho"/>
          <w:lang w:val="en-US" w:eastAsia="ja-JP"/>
        </w:rPr>
        <w:t>The NTN</w:t>
      </w:r>
      <w:r w:rsidRPr="00C647B4">
        <w:rPr>
          <w:rFonts w:eastAsia="MS Mincho"/>
          <w:lang w:val="en-US" w:eastAsia="ja-JP"/>
        </w:rPr>
        <w:t xml:space="preserve"> WI </w:t>
      </w:r>
      <w:r>
        <w:rPr>
          <w:rFonts w:eastAsia="MS Mincho"/>
          <w:lang w:val="en-US" w:eastAsia="ja-JP"/>
        </w:rPr>
        <w:t>(</w:t>
      </w:r>
      <w:r w:rsidR="005668DD">
        <w:rPr>
          <w:rFonts w:eastAsia="MS Mincho"/>
          <w:lang w:val="en-US" w:eastAsia="ja-JP"/>
        </w:rPr>
        <w:fldChar w:fldCharType="begin"/>
      </w:r>
      <w:r w:rsidR="005668DD">
        <w:rPr>
          <w:rFonts w:eastAsia="MS Mincho"/>
          <w:lang w:val="en-US" w:eastAsia="ja-JP"/>
        </w:rPr>
        <w:instrText xml:space="preserve"> REF _Ref71297840 \r \h </w:instrText>
      </w:r>
      <w:r w:rsidR="005668DD">
        <w:rPr>
          <w:rFonts w:eastAsia="MS Mincho"/>
          <w:lang w:val="en-US" w:eastAsia="ja-JP"/>
        </w:rPr>
      </w:r>
      <w:r w:rsidR="005668DD">
        <w:rPr>
          <w:rFonts w:eastAsia="MS Mincho"/>
          <w:lang w:val="en-US" w:eastAsia="ja-JP"/>
        </w:rPr>
        <w:fldChar w:fldCharType="separate"/>
      </w:r>
      <w:r w:rsidR="0098069F">
        <w:rPr>
          <w:rFonts w:eastAsia="MS Mincho"/>
          <w:lang w:val="en-US" w:eastAsia="ja-JP"/>
        </w:rPr>
        <w:t>[1]</w:t>
      </w:r>
      <w:r w:rsidR="005668DD">
        <w:rPr>
          <w:rFonts w:eastAsia="MS Mincho"/>
          <w:lang w:val="en-US" w:eastAsia="ja-JP"/>
        </w:rPr>
        <w:fldChar w:fldCharType="end"/>
      </w:r>
      <w:r>
        <w:rPr>
          <w:rFonts w:eastAsia="MS Mincho"/>
          <w:lang w:val="en-US" w:eastAsia="ja-JP"/>
        </w:rPr>
        <w:t xml:space="preserve">) </w:t>
      </w:r>
      <w:r w:rsidRPr="00C647B4">
        <w:rPr>
          <w:rFonts w:eastAsia="MS Mincho"/>
          <w:lang w:val="en-US" w:eastAsia="ja-JP"/>
        </w:rPr>
        <w:t>has been approved in RAN#</w:t>
      </w:r>
      <w:r>
        <w:rPr>
          <w:rFonts w:eastAsia="MS Mincho"/>
          <w:lang w:val="en-US" w:eastAsia="ja-JP"/>
        </w:rPr>
        <w:t>88e</w:t>
      </w:r>
      <w:r w:rsidRPr="00C647B4">
        <w:rPr>
          <w:rFonts w:eastAsia="MS Mincho"/>
          <w:lang w:val="en-US" w:eastAsia="ja-JP"/>
        </w:rPr>
        <w:t xml:space="preserve"> meeting to specify requirement</w:t>
      </w:r>
      <w:r>
        <w:rPr>
          <w:rFonts w:eastAsia="MS Mincho"/>
          <w:lang w:val="en-US" w:eastAsia="ja-JP"/>
        </w:rPr>
        <w:t>s</w:t>
      </w:r>
      <w:r w:rsidRPr="00C647B4">
        <w:rPr>
          <w:rFonts w:eastAsia="MS Mincho"/>
          <w:lang w:val="en-US" w:eastAsia="ja-JP"/>
        </w:rPr>
        <w:t xml:space="preserve"> for the support of NTN. </w:t>
      </w:r>
      <w:r>
        <w:rPr>
          <w:rFonts w:eastAsia="MS Mincho"/>
          <w:lang w:val="en-US" w:eastAsia="ja-JP"/>
        </w:rPr>
        <w:t>It has been revised in last RAN#</w:t>
      </w:r>
      <w:r w:rsidR="00544FF3">
        <w:rPr>
          <w:rFonts w:eastAsia="MS Mincho"/>
          <w:lang w:val="en-US" w:eastAsia="ja-JP"/>
        </w:rPr>
        <w:t>9</w:t>
      </w:r>
      <w:r w:rsidR="001D77EC">
        <w:rPr>
          <w:rFonts w:eastAsia="MS Mincho"/>
          <w:lang w:val="en-US" w:eastAsia="ja-JP"/>
        </w:rPr>
        <w:t>3</w:t>
      </w:r>
      <w:r>
        <w:rPr>
          <w:rFonts w:eastAsia="MS Mincho"/>
          <w:lang w:val="en-US" w:eastAsia="ja-JP"/>
        </w:rPr>
        <w:t>-e meeting</w:t>
      </w:r>
      <w:r w:rsidR="00C56E50">
        <w:rPr>
          <w:rFonts w:eastAsia="MS Mincho"/>
          <w:lang w:val="en-US" w:eastAsia="ja-JP"/>
        </w:rPr>
        <w:t xml:space="preserve"> </w:t>
      </w:r>
      <w:r w:rsidR="00C56E50">
        <w:rPr>
          <w:rFonts w:eastAsia="MS Mincho"/>
          <w:lang w:val="en-US" w:eastAsia="ja-JP"/>
        </w:rPr>
        <w:fldChar w:fldCharType="begin"/>
      </w:r>
      <w:r w:rsidR="00C56E50">
        <w:rPr>
          <w:rFonts w:eastAsia="MS Mincho"/>
          <w:lang w:val="en-US" w:eastAsia="ja-JP"/>
        </w:rPr>
        <w:instrText xml:space="preserve"> REF _Ref61295180 \r \h </w:instrText>
      </w:r>
      <w:r w:rsidR="00C56E50">
        <w:rPr>
          <w:rFonts w:eastAsia="MS Mincho"/>
          <w:lang w:val="en-US" w:eastAsia="ja-JP"/>
        </w:rPr>
      </w:r>
      <w:r w:rsidR="00C56E50">
        <w:rPr>
          <w:rFonts w:eastAsia="MS Mincho"/>
          <w:lang w:val="en-US" w:eastAsia="ja-JP"/>
        </w:rPr>
        <w:fldChar w:fldCharType="separate"/>
      </w:r>
      <w:r w:rsidR="0098069F">
        <w:rPr>
          <w:rFonts w:eastAsia="MS Mincho"/>
          <w:lang w:val="en-US" w:eastAsia="ja-JP"/>
        </w:rPr>
        <w:t>[2]</w:t>
      </w:r>
      <w:r w:rsidR="00C56E50">
        <w:rPr>
          <w:rFonts w:eastAsia="MS Mincho"/>
          <w:lang w:val="en-US" w:eastAsia="ja-JP"/>
        </w:rPr>
        <w:fldChar w:fldCharType="end"/>
      </w:r>
      <w:r>
        <w:rPr>
          <w:rFonts w:eastAsia="MS Mincho"/>
          <w:lang w:val="en-US" w:eastAsia="ja-JP"/>
        </w:rPr>
        <w:t>.</w:t>
      </w:r>
    </w:p>
    <w:p w14:paraId="137B4EEB" w14:textId="57C1EE9B" w:rsidR="006B44BC" w:rsidRDefault="006B44BC" w:rsidP="004F05E7">
      <w:pPr>
        <w:shd w:val="clear" w:color="auto" w:fill="FFFFFF"/>
        <w:rPr>
          <w:rFonts w:eastAsia="MS Mincho"/>
          <w:lang w:val="en-US" w:eastAsia="ja-JP"/>
        </w:rPr>
      </w:pPr>
      <w:r w:rsidRPr="009B397B">
        <w:rPr>
          <w:rFonts w:eastAsia="MS Mincho"/>
          <w:lang w:val="en-US" w:eastAsia="ja-JP"/>
        </w:rPr>
        <w:t xml:space="preserve">In last RAN4 meeting, </w:t>
      </w:r>
      <w:r w:rsidR="009B397B" w:rsidRPr="009B397B">
        <w:rPr>
          <w:rFonts w:eastAsia="MS Mincho"/>
          <w:lang w:val="en-US" w:eastAsia="ja-JP"/>
        </w:rPr>
        <w:t xml:space="preserve">there was </w:t>
      </w:r>
      <w:r w:rsidR="008A5D64">
        <w:rPr>
          <w:rFonts w:eastAsia="MS Mincho"/>
          <w:lang w:val="en-US" w:eastAsia="ja-JP"/>
        </w:rPr>
        <w:t xml:space="preserve">some agreement on the NTN satellite band numbering, but decision on exact naming in RAN4 specifications was postponed to this RAN4#101-e meeting. Also, no conclusion was </w:t>
      </w:r>
      <w:r w:rsidR="00302ED9">
        <w:rPr>
          <w:rFonts w:eastAsia="MS Mincho"/>
          <w:lang w:val="en-US" w:eastAsia="ja-JP"/>
        </w:rPr>
        <w:t>made</w:t>
      </w:r>
      <w:r w:rsidR="008A5D64">
        <w:rPr>
          <w:rFonts w:eastAsia="MS Mincho"/>
          <w:lang w:val="en-US" w:eastAsia="ja-JP"/>
        </w:rPr>
        <w:t xml:space="preserve"> on the TSs and TR name for NTN</w:t>
      </w:r>
      <w:r w:rsidR="00F668D7" w:rsidRPr="009B397B">
        <w:rPr>
          <w:rFonts w:eastAsia="MS Mincho"/>
          <w:lang w:val="en-US" w:eastAsia="ja-JP"/>
        </w:rPr>
        <w:t xml:space="preserve">. </w:t>
      </w:r>
      <w:r w:rsidR="009B397B" w:rsidRPr="009B397B">
        <w:rPr>
          <w:rFonts w:eastAsia="MS Mincho"/>
          <w:lang w:val="en-US" w:eastAsia="ja-JP"/>
        </w:rPr>
        <w:t>This contribution is addressing th</w:t>
      </w:r>
      <w:r w:rsidR="008A5D64">
        <w:rPr>
          <w:rFonts w:eastAsia="MS Mincho"/>
          <w:lang w:val="en-US" w:eastAsia="ja-JP"/>
        </w:rPr>
        <w:t>ose</w:t>
      </w:r>
      <w:r w:rsidR="009B397B" w:rsidRPr="009B397B">
        <w:rPr>
          <w:rFonts w:eastAsia="MS Mincho"/>
          <w:lang w:val="en-US" w:eastAsia="ja-JP"/>
        </w:rPr>
        <w:t xml:space="preserve"> aspect</w:t>
      </w:r>
      <w:r w:rsidR="008A5D64">
        <w:rPr>
          <w:rFonts w:eastAsia="MS Mincho"/>
          <w:lang w:val="en-US" w:eastAsia="ja-JP"/>
        </w:rPr>
        <w:t>s</w:t>
      </w:r>
      <w:r w:rsidR="009B397B" w:rsidRPr="009B397B">
        <w:rPr>
          <w:rFonts w:eastAsia="MS Mincho"/>
          <w:lang w:val="en-US" w:eastAsia="ja-JP"/>
        </w:rPr>
        <w:t>.</w:t>
      </w:r>
    </w:p>
    <w:p w14:paraId="3A9AF3AC" w14:textId="2F60CE64" w:rsidR="00744830" w:rsidRDefault="00744830" w:rsidP="00744830">
      <w:pPr>
        <w:pStyle w:val="Heading1"/>
        <w:shd w:val="clear" w:color="auto" w:fill="FFFFFF"/>
        <w:rPr>
          <w:rFonts w:cs="Arial"/>
          <w:lang w:val="en-US"/>
        </w:rPr>
      </w:pPr>
      <w:r w:rsidRPr="00467DC3">
        <w:rPr>
          <w:rFonts w:cs="Arial"/>
          <w:lang w:val="en-US"/>
        </w:rPr>
        <w:t xml:space="preserve">Discussion </w:t>
      </w:r>
    </w:p>
    <w:p w14:paraId="136B843F" w14:textId="66AF5778" w:rsidR="00F567E1" w:rsidRDefault="004E7F7B" w:rsidP="00F668D7">
      <w:pPr>
        <w:pStyle w:val="Heading2"/>
      </w:pPr>
      <w:r>
        <w:t>NTN band numbering</w:t>
      </w:r>
    </w:p>
    <w:p w14:paraId="63D52D65" w14:textId="1D1DB8D4" w:rsidR="003F47AA" w:rsidRDefault="00286E19" w:rsidP="00544FF3">
      <w:pPr>
        <w:rPr>
          <w:lang w:val="en-GB"/>
        </w:rPr>
      </w:pPr>
      <w:r>
        <w:rPr>
          <w:lang w:val="en-GB"/>
        </w:rPr>
        <w:t>In last RAN4#</w:t>
      </w:r>
      <w:r w:rsidR="00644BE4">
        <w:rPr>
          <w:lang w:val="en-GB"/>
        </w:rPr>
        <w:t>100</w:t>
      </w:r>
      <w:r>
        <w:rPr>
          <w:lang w:val="en-GB"/>
        </w:rPr>
        <w:t xml:space="preserve">-e meeting, </w:t>
      </w:r>
      <w:r w:rsidR="00644BE4">
        <w:rPr>
          <w:lang w:val="en-GB"/>
        </w:rPr>
        <w:t xml:space="preserve">it was agreed </w:t>
      </w:r>
      <w:r w:rsidR="0093068D">
        <w:rPr>
          <w:lang w:val="en-GB"/>
        </w:rPr>
        <w:t>(</w:t>
      </w:r>
      <w:r w:rsidR="0093068D">
        <w:rPr>
          <w:lang w:val="en-GB"/>
        </w:rPr>
        <w:fldChar w:fldCharType="begin"/>
      </w:r>
      <w:r w:rsidR="0093068D">
        <w:rPr>
          <w:lang w:val="en-GB"/>
        </w:rPr>
        <w:instrText xml:space="preserve"> REF _Ref67507636 \r \h </w:instrText>
      </w:r>
      <w:r w:rsidR="0093068D">
        <w:rPr>
          <w:lang w:val="en-GB"/>
        </w:rPr>
      </w:r>
      <w:r w:rsidR="0093068D">
        <w:rPr>
          <w:lang w:val="en-GB"/>
        </w:rPr>
        <w:fldChar w:fldCharType="separate"/>
      </w:r>
      <w:r w:rsidR="0093068D">
        <w:rPr>
          <w:lang w:val="en-GB"/>
        </w:rPr>
        <w:t>[3]</w:t>
      </w:r>
      <w:r w:rsidR="0093068D">
        <w:rPr>
          <w:lang w:val="en-GB"/>
        </w:rPr>
        <w:fldChar w:fldCharType="end"/>
      </w:r>
      <w:r w:rsidR="0093068D">
        <w:rPr>
          <w:lang w:val="en-GB"/>
        </w:rPr>
        <w:t xml:space="preserve">) </w:t>
      </w:r>
      <w:r>
        <w:rPr>
          <w:lang w:val="en-GB"/>
        </w:rPr>
        <w:t xml:space="preserve">the NTN </w:t>
      </w:r>
      <w:r w:rsidR="00644BE4">
        <w:rPr>
          <w:lang w:val="en-GB"/>
        </w:rPr>
        <w:t xml:space="preserve">satellite </w:t>
      </w:r>
      <w:r>
        <w:rPr>
          <w:lang w:val="en-GB"/>
        </w:rPr>
        <w:t>band</w:t>
      </w:r>
      <w:r w:rsidR="00644BE4">
        <w:rPr>
          <w:lang w:val="en-GB"/>
        </w:rPr>
        <w:t>s</w:t>
      </w:r>
      <w:r>
        <w:rPr>
          <w:lang w:val="en-GB"/>
        </w:rPr>
        <w:t xml:space="preserve"> number</w:t>
      </w:r>
      <w:r w:rsidR="00644BE4">
        <w:rPr>
          <w:lang w:val="en-GB"/>
        </w:rPr>
        <w:t xml:space="preserve"> will start from the largest band number in FR1 (i.e. 256) and decrease from that number on a first come, first serve principle. In other words, NTN satellite bands in FR1 should have numbers 256, 255, 254, … </w:t>
      </w:r>
    </w:p>
    <w:p w14:paraId="6CB12FB7" w14:textId="2AA26097" w:rsidR="003F47AA" w:rsidRDefault="003F47AA" w:rsidP="00544FF3">
      <w:pPr>
        <w:rPr>
          <w:lang w:val="en-GB"/>
        </w:rPr>
      </w:pPr>
      <w:r>
        <w:rPr>
          <w:lang w:val="en-GB"/>
        </w:rPr>
        <w:t xml:space="preserve">But it was left open if the name of the satellite band which will be used in RAN4 specifications and </w:t>
      </w:r>
      <w:r w:rsidR="00B55595">
        <w:rPr>
          <w:lang w:val="en-GB"/>
        </w:rPr>
        <w:t>TRs</w:t>
      </w:r>
      <w:r>
        <w:rPr>
          <w:lang w:val="en-GB"/>
        </w:rPr>
        <w:t xml:space="preserve"> should be prefixed with “n” as any NR band, or with “s”.</w:t>
      </w:r>
    </w:p>
    <w:p w14:paraId="097543FF" w14:textId="75C435B1" w:rsidR="00644BE4" w:rsidRDefault="00680D83" w:rsidP="00544FF3">
      <w:pPr>
        <w:rPr>
          <w:lang w:val="en-GB"/>
        </w:rPr>
      </w:pPr>
      <w:r>
        <w:rPr>
          <w:lang w:val="en-GB"/>
        </w:rPr>
        <w:t xml:space="preserve">Our initial proposal was to add the “s” prefix before any NTN satellite band number, and the main motivation was to clearly identify the NTN satellite bands and their associated specific requirements (if any) in the RAN4 specifications. In our view, this was mostly relevant for UE specifications, when considering existing TS 38.101-1 would capture TN and NTN UE requirements. But, in last RAN4#100-e, it was proposed to have NTN UE requirements in a new separate TS (e.g. TS 38.101-5), not in TS 38.101-1. This was further discussed in RAN#93-e but no conclusion was made </w:t>
      </w:r>
      <w:r w:rsidR="001034D1">
        <w:rPr>
          <w:lang w:val="en-GB"/>
        </w:rPr>
        <w:t>unfortunately. This</w:t>
      </w:r>
      <w:r>
        <w:rPr>
          <w:lang w:val="en-GB"/>
        </w:rPr>
        <w:t xml:space="preserve"> should be finalized in coming RAN#94-e meeting.</w:t>
      </w:r>
    </w:p>
    <w:p w14:paraId="0B1C74B1" w14:textId="70ADBA82" w:rsidR="003F47AA" w:rsidRDefault="00680D83" w:rsidP="00544FF3">
      <w:pPr>
        <w:rPr>
          <w:lang w:val="en-GB"/>
        </w:rPr>
      </w:pPr>
      <w:r>
        <w:rPr>
          <w:lang w:val="en-GB"/>
        </w:rPr>
        <w:t>Pending on this decision, we would make the following proposal:</w:t>
      </w:r>
    </w:p>
    <w:p w14:paraId="53D8F05B" w14:textId="3DF5E89A" w:rsidR="00680D83" w:rsidRPr="000470EA" w:rsidRDefault="00680D83" w:rsidP="00544FF3">
      <w:pPr>
        <w:rPr>
          <w:b/>
          <w:bCs/>
          <w:lang w:val="en-GB"/>
        </w:rPr>
      </w:pPr>
      <w:r w:rsidRPr="000470EA">
        <w:rPr>
          <w:b/>
          <w:bCs/>
          <w:lang w:val="en-GB"/>
        </w:rPr>
        <w:t>Proposal</w:t>
      </w:r>
      <w:r w:rsidR="006670BC" w:rsidRPr="000470EA">
        <w:rPr>
          <w:b/>
          <w:bCs/>
          <w:lang w:val="en-GB"/>
        </w:rPr>
        <w:t xml:space="preserve"> 1</w:t>
      </w:r>
      <w:r w:rsidRPr="000470EA">
        <w:rPr>
          <w:b/>
          <w:bCs/>
          <w:lang w:val="en-GB"/>
        </w:rPr>
        <w:t xml:space="preserve">: </w:t>
      </w:r>
      <w:r w:rsidR="00D30CD6" w:rsidRPr="000470EA">
        <w:rPr>
          <w:b/>
          <w:bCs/>
          <w:lang w:val="en-GB"/>
        </w:rPr>
        <w:t xml:space="preserve">Assuming NTN UE requirements will be captured in a </w:t>
      </w:r>
      <w:r w:rsidR="00D30CD6" w:rsidRPr="00CE5841">
        <w:rPr>
          <w:b/>
          <w:bCs/>
          <w:lang w:val="en-GB"/>
        </w:rPr>
        <w:t>separate new TS</w:t>
      </w:r>
      <w:r w:rsidR="00D30CD6" w:rsidRPr="000470EA">
        <w:rPr>
          <w:b/>
          <w:bCs/>
          <w:lang w:val="en-GB"/>
        </w:rPr>
        <w:t xml:space="preserve">, the NTN satellite bands naming </w:t>
      </w:r>
      <w:r w:rsidR="006670BC" w:rsidRPr="000470EA">
        <w:rPr>
          <w:b/>
          <w:bCs/>
          <w:lang w:val="en-GB"/>
        </w:rPr>
        <w:t>could</w:t>
      </w:r>
      <w:r w:rsidR="00D30CD6" w:rsidRPr="000470EA">
        <w:rPr>
          <w:b/>
          <w:bCs/>
          <w:lang w:val="en-GB"/>
        </w:rPr>
        <w:t xml:space="preserve"> be prefixed with “n”</w:t>
      </w:r>
      <w:r w:rsidR="006670BC" w:rsidRPr="000470EA">
        <w:rPr>
          <w:b/>
          <w:bCs/>
          <w:lang w:val="en-GB"/>
        </w:rPr>
        <w:t xml:space="preserve"> or “s”</w:t>
      </w:r>
      <w:r w:rsidR="00D30CD6" w:rsidRPr="000470EA">
        <w:rPr>
          <w:b/>
          <w:bCs/>
          <w:lang w:val="en-GB"/>
        </w:rPr>
        <w:t>.</w:t>
      </w:r>
      <w:r w:rsidR="006670BC" w:rsidRPr="000470EA">
        <w:rPr>
          <w:b/>
          <w:bCs/>
          <w:lang w:val="en-GB"/>
        </w:rPr>
        <w:t xml:space="preserve"> </w:t>
      </w:r>
    </w:p>
    <w:p w14:paraId="59153B1C" w14:textId="0A7FE8CC" w:rsidR="005E0E37" w:rsidRDefault="005E0E37" w:rsidP="005E0E37">
      <w:pPr>
        <w:spacing w:after="0" w:line="240" w:lineRule="auto"/>
        <w:rPr>
          <w:b/>
          <w:bCs/>
          <w:lang w:val="en-GB"/>
        </w:rPr>
      </w:pPr>
    </w:p>
    <w:p w14:paraId="6812A1F7" w14:textId="07EE995F" w:rsidR="00D30CD6" w:rsidRDefault="00D30CD6" w:rsidP="00D30CD6">
      <w:pPr>
        <w:pStyle w:val="Heading2"/>
        <w:rPr>
          <w:lang w:eastAsia="zh-CN"/>
        </w:rPr>
      </w:pPr>
      <w:r>
        <w:rPr>
          <w:bCs/>
        </w:rPr>
        <w:t xml:space="preserve">Naming for </w:t>
      </w:r>
      <w:r w:rsidRPr="008B6545">
        <w:rPr>
          <w:lang w:eastAsia="zh-CN"/>
        </w:rPr>
        <w:t>(satellite payload + feeder link + GW + Non-NTN infrastructure gNB)</w:t>
      </w:r>
    </w:p>
    <w:p w14:paraId="677E8AE8" w14:textId="0A4BC385" w:rsidR="00D30CD6" w:rsidRDefault="00D30CD6" w:rsidP="00D30CD6">
      <w:pPr>
        <w:rPr>
          <w:lang w:val="en-GB" w:eastAsia="zh-CN"/>
        </w:rPr>
      </w:pPr>
      <w:r>
        <w:rPr>
          <w:lang w:val="en-GB" w:eastAsia="zh-CN"/>
        </w:rPr>
        <w:t xml:space="preserve">In last RAN#100-e meeting, a late discussion was initiated to agree on an appropriate naming for </w:t>
      </w:r>
      <w:r w:rsidRPr="002762A4">
        <w:rPr>
          <w:lang w:eastAsia="zh-CN"/>
        </w:rPr>
        <w:t>(satellite payload + feeder link + GW + Non-NTN infrastructure gNB)</w:t>
      </w:r>
      <w:r>
        <w:rPr>
          <w:lang w:eastAsia="zh-CN"/>
        </w:rPr>
        <w:t xml:space="preserve"> as shown with ”TBD” in </w:t>
      </w:r>
      <w:r>
        <w:rPr>
          <w:lang w:eastAsia="zh-CN"/>
        </w:rPr>
        <w:fldChar w:fldCharType="begin"/>
      </w:r>
      <w:r>
        <w:rPr>
          <w:lang w:eastAsia="zh-CN"/>
        </w:rPr>
        <w:instrText xml:space="preserve"> REF _Ref84413655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7744082B" w14:textId="77777777" w:rsidR="00D30CD6" w:rsidRDefault="00D30CD6" w:rsidP="00D30CD6">
      <w:pPr>
        <w:keepNext/>
        <w:ind w:firstLine="720"/>
      </w:pPr>
      <w:r>
        <w:rPr>
          <w:noProof/>
          <w:lang w:val="en-GB" w:eastAsia="zh-CN"/>
        </w:rPr>
        <w:lastRenderedPageBreak/>
        <w:drawing>
          <wp:inline distT="0" distB="0" distL="0" distR="0" wp14:anchorId="23C9BC09" wp14:editId="6DAE567A">
            <wp:extent cx="5019040" cy="1943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9040" cy="1943100"/>
                    </a:xfrm>
                    <a:prstGeom prst="rect">
                      <a:avLst/>
                    </a:prstGeom>
                    <a:noFill/>
                  </pic:spPr>
                </pic:pic>
              </a:graphicData>
            </a:graphic>
          </wp:inline>
        </w:drawing>
      </w:r>
    </w:p>
    <w:p w14:paraId="31D76DE2" w14:textId="17988D7A" w:rsidR="00D30CD6" w:rsidRDefault="00D30CD6" w:rsidP="00D30CD6">
      <w:pPr>
        <w:pStyle w:val="Caption"/>
        <w:ind w:left="1440" w:firstLine="720"/>
      </w:pPr>
      <w:bookmarkStart w:id="1" w:name="_Ref84413655"/>
      <w:r>
        <w:t xml:space="preserve">Figure </w:t>
      </w:r>
      <w:r w:rsidR="00523C88">
        <w:fldChar w:fldCharType="begin"/>
      </w:r>
      <w:r w:rsidR="00523C88">
        <w:instrText xml:space="preserve"> SEQ Figure \* ARABIC </w:instrText>
      </w:r>
      <w:r w:rsidR="00523C88">
        <w:fldChar w:fldCharType="separate"/>
      </w:r>
      <w:r>
        <w:rPr>
          <w:noProof/>
        </w:rPr>
        <w:t>1</w:t>
      </w:r>
      <w:r w:rsidR="00523C88">
        <w:rPr>
          <w:noProof/>
        </w:rPr>
        <w:fldChar w:fldCharType="end"/>
      </w:r>
      <w:bookmarkEnd w:id="1"/>
      <w:r>
        <w:t>: NTN architecture</w:t>
      </w:r>
    </w:p>
    <w:p w14:paraId="527831B9" w14:textId="4A39511B" w:rsidR="00D30CD6" w:rsidRDefault="00D30CD6" w:rsidP="00D30CD6">
      <w:pPr>
        <w:rPr>
          <w:lang w:val="en-GB" w:eastAsia="zh-CN"/>
        </w:rPr>
      </w:pPr>
      <w:r>
        <w:rPr>
          <w:lang w:val="en-GB" w:eastAsia="zh-CN"/>
        </w:rPr>
        <w:t>Following proposals</w:t>
      </w:r>
      <w:r w:rsidR="0093068D">
        <w:rPr>
          <w:lang w:val="en-GB" w:eastAsia="zh-CN"/>
        </w:rPr>
        <w:t xml:space="preserve"> (</w:t>
      </w:r>
      <w:r w:rsidR="0093068D">
        <w:rPr>
          <w:lang w:val="en-GB" w:eastAsia="zh-CN"/>
        </w:rPr>
        <w:fldChar w:fldCharType="begin"/>
      </w:r>
      <w:r w:rsidR="0093068D">
        <w:rPr>
          <w:lang w:val="en-GB" w:eastAsia="zh-CN"/>
        </w:rPr>
        <w:instrText xml:space="preserve"> REF _Ref67507636 \r \h </w:instrText>
      </w:r>
      <w:r w:rsidR="0093068D">
        <w:rPr>
          <w:lang w:val="en-GB" w:eastAsia="zh-CN"/>
        </w:rPr>
      </w:r>
      <w:r w:rsidR="0093068D">
        <w:rPr>
          <w:lang w:val="en-GB" w:eastAsia="zh-CN"/>
        </w:rPr>
        <w:fldChar w:fldCharType="separate"/>
      </w:r>
      <w:r w:rsidR="0093068D">
        <w:rPr>
          <w:lang w:val="en-GB" w:eastAsia="zh-CN"/>
        </w:rPr>
        <w:t>[3]</w:t>
      </w:r>
      <w:r w:rsidR="0093068D">
        <w:rPr>
          <w:lang w:val="en-GB" w:eastAsia="zh-CN"/>
        </w:rPr>
        <w:fldChar w:fldCharType="end"/>
      </w:r>
      <w:r w:rsidR="0093068D">
        <w:rPr>
          <w:lang w:val="en-GB" w:eastAsia="zh-CN"/>
        </w:rPr>
        <w:t>)</w:t>
      </w:r>
      <w:r>
        <w:rPr>
          <w:lang w:val="en-GB" w:eastAsia="zh-CN"/>
        </w:rPr>
        <w:t xml:space="preserve"> were suggested: “Satellite Access Node”, “Satellite BS”, “Satellite gNB”, “Satellite Node B” and “NTN Satellite gNB”.</w:t>
      </w:r>
    </w:p>
    <w:p w14:paraId="321EA6B9" w14:textId="7FAE878F" w:rsidR="00D30CD6" w:rsidRDefault="002762A4" w:rsidP="00D30CD6">
      <w:pPr>
        <w:rPr>
          <w:lang w:val="en-GB" w:eastAsia="zh-CN"/>
        </w:rPr>
      </w:pPr>
      <w:r>
        <w:rPr>
          <w:lang w:val="en-GB" w:eastAsia="zh-CN"/>
        </w:rPr>
        <w:t xml:space="preserve">Based on those, we would </w:t>
      </w:r>
      <w:r w:rsidR="00BE2F0D">
        <w:rPr>
          <w:lang w:val="en-GB" w:eastAsia="zh-CN"/>
        </w:rPr>
        <w:t xml:space="preserve">like to </w:t>
      </w:r>
      <w:r>
        <w:rPr>
          <w:lang w:val="en-GB" w:eastAsia="zh-CN"/>
        </w:rPr>
        <w:t>make the following proposal:</w:t>
      </w:r>
    </w:p>
    <w:p w14:paraId="03C7B926" w14:textId="34B16E55" w:rsidR="002762A4" w:rsidRPr="00BE2F0D" w:rsidRDefault="002762A4" w:rsidP="00D30CD6">
      <w:pPr>
        <w:rPr>
          <w:b/>
          <w:bCs/>
          <w:lang w:val="en-GB" w:eastAsia="zh-CN"/>
        </w:rPr>
      </w:pPr>
      <w:r w:rsidRPr="00BE2F0D">
        <w:rPr>
          <w:b/>
          <w:bCs/>
          <w:lang w:val="en-GB" w:eastAsia="zh-CN"/>
        </w:rPr>
        <w:t xml:space="preserve">Proposal 2: The name for the block </w:t>
      </w:r>
      <w:r w:rsidRPr="00BE2F0D">
        <w:rPr>
          <w:b/>
          <w:bCs/>
          <w:lang w:eastAsia="zh-CN"/>
        </w:rPr>
        <w:t>(satellite payload + feeder link + GW + Non-NTN infrastructure gNB) should be ”</w:t>
      </w:r>
      <w:r w:rsidRPr="00BE2F0D">
        <w:rPr>
          <w:b/>
          <w:bCs/>
          <w:lang w:val="en-US"/>
        </w:rPr>
        <w:t>Satellite Assisted Access Node”</w:t>
      </w:r>
      <w:r w:rsidR="009520FE">
        <w:rPr>
          <w:b/>
          <w:bCs/>
          <w:lang w:val="en-US"/>
        </w:rPr>
        <w:t xml:space="preserve"> or possibly </w:t>
      </w:r>
      <w:r w:rsidR="009520FE" w:rsidRPr="00BE2F0D">
        <w:rPr>
          <w:b/>
          <w:bCs/>
          <w:lang w:eastAsia="zh-CN"/>
        </w:rPr>
        <w:t>”</w:t>
      </w:r>
      <w:r w:rsidR="009520FE" w:rsidRPr="00BE2F0D">
        <w:rPr>
          <w:b/>
          <w:bCs/>
          <w:lang w:val="en-US"/>
        </w:rPr>
        <w:t>Satellite Access Node”</w:t>
      </w:r>
      <w:r w:rsidRPr="00BE2F0D">
        <w:rPr>
          <w:b/>
          <w:bCs/>
          <w:lang w:val="en-US"/>
        </w:rPr>
        <w:t>. This name should also be used in the title of TS 38.108 and TS 38.181.</w:t>
      </w:r>
    </w:p>
    <w:p w14:paraId="0C1DA788" w14:textId="68B0CB45" w:rsidR="00D30CD6" w:rsidRDefault="00D30CD6" w:rsidP="00D30CD6">
      <w:pPr>
        <w:rPr>
          <w:lang w:val="en-GB" w:eastAsia="zh-CN"/>
        </w:rPr>
      </w:pPr>
    </w:p>
    <w:p w14:paraId="6172FF1D" w14:textId="77777777" w:rsidR="00D30CD6" w:rsidRPr="00D30CD6" w:rsidRDefault="00D30CD6" w:rsidP="00D30CD6">
      <w:pPr>
        <w:rPr>
          <w:lang w:val="en-GB" w:eastAsia="zh-CN"/>
        </w:rPr>
      </w:pPr>
    </w:p>
    <w:p w14:paraId="48CBDE90" w14:textId="77777777" w:rsidR="00744830" w:rsidRPr="00862482" w:rsidRDefault="00744830" w:rsidP="00CC08B6">
      <w:pPr>
        <w:pStyle w:val="Heading1"/>
        <w:rPr>
          <w:rFonts w:eastAsia="Calibri"/>
          <w:lang w:eastAsia="zh-CN"/>
        </w:rPr>
      </w:pPr>
      <w:r w:rsidRPr="00862482">
        <w:rPr>
          <w:rFonts w:eastAsia="Calibri"/>
          <w:lang w:eastAsia="zh-CN"/>
        </w:rPr>
        <w:t>Conclusion</w:t>
      </w:r>
    </w:p>
    <w:p w14:paraId="1A77318D" w14:textId="67DDC358" w:rsidR="00EB476E" w:rsidRDefault="00744830" w:rsidP="00EB476E">
      <w:pPr>
        <w:spacing w:after="120"/>
        <w:jc w:val="both"/>
      </w:pPr>
      <w:r w:rsidRPr="00467DC3">
        <w:t>In this contribution,</w:t>
      </w:r>
      <w:r w:rsidR="0021007D">
        <w:t xml:space="preserve"> </w:t>
      </w:r>
      <w:r w:rsidR="00474B54">
        <w:t xml:space="preserve">we </w:t>
      </w:r>
      <w:r w:rsidR="000470EA">
        <w:t xml:space="preserve">further </w:t>
      </w:r>
      <w:r w:rsidR="00DE5229">
        <w:t>discussed</w:t>
      </w:r>
      <w:r w:rsidR="007B66CE">
        <w:t xml:space="preserve"> </w:t>
      </w:r>
      <w:r w:rsidR="009B397B">
        <w:t xml:space="preserve">the </w:t>
      </w:r>
      <w:r w:rsidR="000470EA">
        <w:t xml:space="preserve">the </w:t>
      </w:r>
      <w:r w:rsidR="009B397B">
        <w:t>NTN band</w:t>
      </w:r>
      <w:r w:rsidR="000470EA">
        <w:t>s</w:t>
      </w:r>
      <w:r w:rsidR="009B397B">
        <w:t xml:space="preserve"> </w:t>
      </w:r>
      <w:r w:rsidR="000470EA">
        <w:t xml:space="preserve">naming scheme </w:t>
      </w:r>
      <w:r w:rsidR="009B397B">
        <w:t>an</w:t>
      </w:r>
      <w:r w:rsidR="000470EA">
        <w:t xml:space="preserve">d the new architecture block naming. We </w:t>
      </w:r>
      <w:r w:rsidR="009B397B">
        <w:t>made the following proposals:</w:t>
      </w:r>
    </w:p>
    <w:p w14:paraId="0D5F3394" w14:textId="18F1B87A" w:rsidR="000470EA" w:rsidRPr="000470EA" w:rsidRDefault="000470EA" w:rsidP="000470EA">
      <w:pPr>
        <w:rPr>
          <w:b/>
          <w:bCs/>
          <w:lang w:val="en-GB"/>
        </w:rPr>
      </w:pPr>
      <w:r w:rsidRPr="000470EA">
        <w:rPr>
          <w:b/>
          <w:bCs/>
          <w:lang w:val="en-GB"/>
        </w:rPr>
        <w:t xml:space="preserve">Proposal 1: Assuming NTN UE requirements will be captured in a </w:t>
      </w:r>
      <w:r w:rsidRPr="000470EA">
        <w:rPr>
          <w:b/>
          <w:bCs/>
          <w:u w:val="single"/>
          <w:lang w:val="en-GB"/>
        </w:rPr>
        <w:t>separate new TS</w:t>
      </w:r>
      <w:r w:rsidRPr="000470EA">
        <w:rPr>
          <w:b/>
          <w:bCs/>
          <w:lang w:val="en-GB"/>
        </w:rPr>
        <w:t xml:space="preserve">, the NTN satellite bands naming could be prefixed with “n” or “s”. </w:t>
      </w:r>
    </w:p>
    <w:p w14:paraId="1F76D52F" w14:textId="3C36992B" w:rsidR="000470EA" w:rsidRPr="00BE2F0D" w:rsidRDefault="000470EA" w:rsidP="000470EA">
      <w:pPr>
        <w:rPr>
          <w:b/>
          <w:bCs/>
          <w:lang w:val="en-GB" w:eastAsia="zh-CN"/>
        </w:rPr>
      </w:pPr>
      <w:r w:rsidRPr="00BE2F0D">
        <w:rPr>
          <w:b/>
          <w:bCs/>
          <w:lang w:val="en-GB" w:eastAsia="zh-CN"/>
        </w:rPr>
        <w:t xml:space="preserve">Proposal 2: The name for the block </w:t>
      </w:r>
      <w:r w:rsidRPr="00BE2F0D">
        <w:rPr>
          <w:b/>
          <w:bCs/>
          <w:lang w:eastAsia="zh-CN"/>
        </w:rPr>
        <w:t>(satellite payload + feeder link + GW + Non-NTN infrastructure gNB) should be ”</w:t>
      </w:r>
      <w:r w:rsidRPr="00BE2F0D">
        <w:rPr>
          <w:b/>
          <w:bCs/>
          <w:lang w:val="en-US"/>
        </w:rPr>
        <w:t>Satellite Assisted Access Node”</w:t>
      </w:r>
      <w:r w:rsidR="009520FE">
        <w:rPr>
          <w:b/>
          <w:bCs/>
          <w:lang w:val="en-US"/>
        </w:rPr>
        <w:t xml:space="preserve"> or possibly </w:t>
      </w:r>
      <w:r w:rsidR="009520FE" w:rsidRPr="00BE2F0D">
        <w:rPr>
          <w:b/>
          <w:bCs/>
          <w:lang w:eastAsia="zh-CN"/>
        </w:rPr>
        <w:t>”</w:t>
      </w:r>
      <w:r w:rsidR="009520FE" w:rsidRPr="00BE2F0D">
        <w:rPr>
          <w:b/>
          <w:bCs/>
          <w:lang w:val="en-US"/>
        </w:rPr>
        <w:t>Satellite Access Node”</w:t>
      </w:r>
      <w:r w:rsidRPr="00BE2F0D">
        <w:rPr>
          <w:b/>
          <w:bCs/>
          <w:lang w:val="en-US"/>
        </w:rPr>
        <w:t>. This name should also be used in the title of TS 38.108 and TS 38.181.</w:t>
      </w: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E31158D" w14:textId="77777777" w:rsidR="00974B3A" w:rsidRPr="00C647B4" w:rsidRDefault="00974B3A" w:rsidP="00974B3A">
      <w:pPr>
        <w:numPr>
          <w:ilvl w:val="0"/>
          <w:numId w:val="9"/>
        </w:numPr>
        <w:rPr>
          <w:bCs/>
        </w:rPr>
      </w:pPr>
      <w:bookmarkStart w:id="2" w:name="_Ref71297840"/>
      <w:r w:rsidRPr="00C647B4">
        <w:t>RP-20</w:t>
      </w:r>
      <w:r>
        <w:t>1256</w:t>
      </w:r>
      <w:r w:rsidRPr="00C647B4">
        <w:t xml:space="preserve">, </w:t>
      </w:r>
      <w:r w:rsidRPr="00D130F7">
        <w:t>Solutions for NR to support non-terrestrial networks (NTN), Thales</w:t>
      </w:r>
      <w:bookmarkEnd w:id="2"/>
      <w:r w:rsidRPr="00C647B4">
        <w:t xml:space="preserve"> </w:t>
      </w:r>
    </w:p>
    <w:p w14:paraId="33347ACA" w14:textId="3C0D0211" w:rsidR="00C56E50" w:rsidRPr="00C647B4" w:rsidRDefault="00C56E50" w:rsidP="00C56E50">
      <w:pPr>
        <w:numPr>
          <w:ilvl w:val="0"/>
          <w:numId w:val="9"/>
        </w:numPr>
        <w:rPr>
          <w:bCs/>
          <w:lang w:val="en-US"/>
        </w:rPr>
      </w:pPr>
      <w:bookmarkStart w:id="3" w:name="_Ref61295180"/>
      <w:r w:rsidRPr="00C647B4">
        <w:rPr>
          <w:lang w:val="en-US"/>
        </w:rPr>
        <w:t>RP-2</w:t>
      </w:r>
      <w:r w:rsidR="00A55351">
        <w:rPr>
          <w:lang w:val="en-US"/>
        </w:rPr>
        <w:t>11</w:t>
      </w:r>
      <w:r w:rsidR="00EA397A">
        <w:rPr>
          <w:lang w:val="en-US"/>
        </w:rPr>
        <w:t>784</w:t>
      </w:r>
      <w:r w:rsidRPr="00C647B4">
        <w:rPr>
          <w:lang w:val="en-US"/>
        </w:rPr>
        <w:t xml:space="preserve">, </w:t>
      </w:r>
      <w:r w:rsidRPr="00D130F7">
        <w:rPr>
          <w:lang w:val="en-US"/>
        </w:rPr>
        <w:t>Solutions for NR to support non-terrestrial networks (NTN), Thales</w:t>
      </w:r>
      <w:bookmarkEnd w:id="3"/>
      <w:r w:rsidRPr="00C647B4">
        <w:rPr>
          <w:lang w:val="en-US"/>
        </w:rPr>
        <w:t xml:space="preserve"> </w:t>
      </w:r>
    </w:p>
    <w:p w14:paraId="603AB435" w14:textId="02E2FE11" w:rsidR="00AF431D" w:rsidRPr="009B397B" w:rsidRDefault="001A6F7E" w:rsidP="00C56E50">
      <w:pPr>
        <w:numPr>
          <w:ilvl w:val="0"/>
          <w:numId w:val="9"/>
        </w:numPr>
        <w:rPr>
          <w:lang w:val="en-US" w:eastAsia="ja-JP"/>
        </w:rPr>
      </w:pPr>
      <w:bookmarkStart w:id="4" w:name="_Ref67507636"/>
      <w:bookmarkStart w:id="5" w:name="_Ref61295265"/>
      <w:r>
        <w:rPr>
          <w:lang w:val="en-GB" w:eastAsia="ja-JP"/>
        </w:rPr>
        <w:t>R4-21</w:t>
      </w:r>
      <w:r w:rsidR="0093068D">
        <w:rPr>
          <w:lang w:val="en-GB" w:eastAsia="ja-JP"/>
        </w:rPr>
        <w:t>15640</w:t>
      </w:r>
      <w:r>
        <w:rPr>
          <w:lang w:val="en-GB" w:eastAsia="ja-JP"/>
        </w:rPr>
        <w:t xml:space="preserve">, </w:t>
      </w:r>
      <w:r w:rsidRPr="001A6F7E">
        <w:rPr>
          <w:lang w:val="en-GB" w:eastAsia="ja-JP"/>
        </w:rPr>
        <w:t xml:space="preserve">WF </w:t>
      </w:r>
      <w:r w:rsidR="00AE3571">
        <w:rPr>
          <w:lang w:val="en-GB" w:eastAsia="ja-JP"/>
        </w:rPr>
        <w:t>on</w:t>
      </w:r>
      <w:r w:rsidRPr="001A6F7E">
        <w:rPr>
          <w:lang w:val="en-GB" w:eastAsia="ja-JP"/>
        </w:rPr>
        <w:t xml:space="preserve"> NTN</w:t>
      </w:r>
      <w:r w:rsidR="00AE3571">
        <w:rPr>
          <w:lang w:val="en-GB" w:eastAsia="ja-JP"/>
        </w:rPr>
        <w:t xml:space="preserve"> solutions Part1</w:t>
      </w:r>
      <w:r>
        <w:rPr>
          <w:lang w:val="en-GB" w:eastAsia="ja-JP"/>
        </w:rPr>
        <w:t>, Thales</w:t>
      </w:r>
      <w:bookmarkEnd w:id="4"/>
    </w:p>
    <w:bookmarkEnd w:id="5"/>
    <w:p w14:paraId="4BCA6446" w14:textId="77777777" w:rsidR="00AE3571" w:rsidRPr="007A1680" w:rsidRDefault="00AE3571" w:rsidP="0093068D">
      <w:pPr>
        <w:ind w:left="405"/>
        <w:rPr>
          <w:lang w:val="en-US" w:eastAsia="ja-JP"/>
        </w:rPr>
      </w:pPr>
    </w:p>
    <w:sectPr w:rsidR="00AE3571" w:rsidRPr="007A168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05A4E" w14:textId="77777777" w:rsidR="00523C88" w:rsidRDefault="00523C88">
      <w:r>
        <w:separator/>
      </w:r>
    </w:p>
  </w:endnote>
  <w:endnote w:type="continuationSeparator" w:id="0">
    <w:p w14:paraId="4BB94007" w14:textId="77777777" w:rsidR="00523C88" w:rsidRDefault="00523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onotype Sorts">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94316" w14:textId="77777777" w:rsidR="00523C88" w:rsidRDefault="00523C88">
      <w:r>
        <w:separator/>
      </w:r>
    </w:p>
  </w:footnote>
  <w:footnote w:type="continuationSeparator" w:id="0">
    <w:p w14:paraId="655A0643" w14:textId="77777777" w:rsidR="00523C88" w:rsidRDefault="00523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CF8CEA74"/>
    <w:lvl w:ilvl="0">
      <w:numFmt w:val="bullet"/>
      <w:lvlText w:val="*"/>
      <w:lvlJc w:val="left"/>
    </w:lvl>
  </w:abstractNum>
  <w:abstractNum w:abstractNumId="1" w15:restartNumberingAfterBreak="0">
    <w:nsid w:val="000C7510"/>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90119A2"/>
    <w:multiLevelType w:val="hybridMultilevel"/>
    <w:tmpl w:val="5DACF994"/>
    <w:lvl w:ilvl="0" w:tplc="EFF64974">
      <w:start w:val="8"/>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6783C81"/>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15:restartNumberingAfterBreak="0">
    <w:nsid w:val="1D2D783C"/>
    <w:multiLevelType w:val="hybridMultilevel"/>
    <w:tmpl w:val="82461C8E"/>
    <w:lvl w:ilvl="0" w:tplc="75BC50FE">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FDD210C"/>
    <w:multiLevelType w:val="hybridMultilevel"/>
    <w:tmpl w:val="C3A8769C"/>
    <w:lvl w:ilvl="0" w:tplc="DC30C1BC">
      <w:start w:val="1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7" w15:restartNumberingAfterBreak="0">
    <w:nsid w:val="2FDD6F8B"/>
    <w:multiLevelType w:val="hybridMultilevel"/>
    <w:tmpl w:val="D4100804"/>
    <w:lvl w:ilvl="0" w:tplc="68C6FD58">
      <w:start w:val="5"/>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B700F"/>
    <w:multiLevelType w:val="hybridMultilevel"/>
    <w:tmpl w:val="3F0876BA"/>
    <w:lvl w:ilvl="0" w:tplc="E22645C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4F25F6"/>
    <w:multiLevelType w:val="hybridMultilevel"/>
    <w:tmpl w:val="BEE291F8"/>
    <w:lvl w:ilvl="0" w:tplc="7FD6A7D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1F46EB7"/>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0821B6"/>
    <w:multiLevelType w:val="hybridMultilevel"/>
    <w:tmpl w:val="0BB2192A"/>
    <w:lvl w:ilvl="0" w:tplc="27FC652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9877D70"/>
    <w:multiLevelType w:val="hybridMultilevel"/>
    <w:tmpl w:val="6FA80CFE"/>
    <w:lvl w:ilvl="0" w:tplc="CA62B604">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D910563"/>
    <w:multiLevelType w:val="hybridMultilevel"/>
    <w:tmpl w:val="8954F0F8"/>
    <w:lvl w:ilvl="0" w:tplc="23967F98">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EAD1712"/>
    <w:multiLevelType w:val="hybridMultilevel"/>
    <w:tmpl w:val="DF22B380"/>
    <w:lvl w:ilvl="0" w:tplc="630663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8755704"/>
    <w:multiLevelType w:val="hybridMultilevel"/>
    <w:tmpl w:val="11E60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FB3312B"/>
    <w:multiLevelType w:val="hybridMultilevel"/>
    <w:tmpl w:val="65DE7FDE"/>
    <w:lvl w:ilvl="0" w:tplc="1EBEC28E">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642DFF"/>
    <w:multiLevelType w:val="hybridMultilevel"/>
    <w:tmpl w:val="AF0CF0DA"/>
    <w:lvl w:ilvl="0" w:tplc="942CE472">
      <w:start w:val="19"/>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2BD3509"/>
    <w:multiLevelType w:val="hybridMultilevel"/>
    <w:tmpl w:val="B2840B40"/>
    <w:lvl w:ilvl="0" w:tplc="C21EB0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7451C"/>
    <w:multiLevelType w:val="hybridMultilevel"/>
    <w:tmpl w:val="6CBAA936"/>
    <w:lvl w:ilvl="0" w:tplc="31A4A86A">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46" w15:restartNumberingAfterBreak="0">
    <w:nsid w:val="7DAF6400"/>
    <w:multiLevelType w:val="hybridMultilevel"/>
    <w:tmpl w:val="5770CED8"/>
    <w:lvl w:ilvl="0" w:tplc="EFB81614">
      <w:start w:val="5"/>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42"/>
  </w:num>
  <w:num w:numId="4">
    <w:abstractNumId w:val="5"/>
  </w:num>
  <w:num w:numId="5">
    <w:abstractNumId w:val="29"/>
  </w:num>
  <w:num w:numId="6">
    <w:abstractNumId w:val="20"/>
  </w:num>
  <w:num w:numId="7">
    <w:abstractNumId w:val="18"/>
  </w:num>
  <w:num w:numId="8">
    <w:abstractNumId w:val="30"/>
  </w:num>
  <w:num w:numId="9">
    <w:abstractNumId w:val="45"/>
  </w:num>
  <w:num w:numId="10">
    <w:abstractNumId w:val="39"/>
  </w:num>
  <w:num w:numId="11">
    <w:abstractNumId w:val="38"/>
  </w:num>
  <w:num w:numId="12">
    <w:abstractNumId w:val="19"/>
  </w:num>
  <w:num w:numId="13">
    <w:abstractNumId w:val="40"/>
  </w:num>
  <w:num w:numId="14">
    <w:abstractNumId w:val="43"/>
  </w:num>
  <w:num w:numId="15">
    <w:abstractNumId w:val="0"/>
    <w:lvlOverride w:ilvl="0">
      <w:lvl w:ilvl="0">
        <w:start w:val="1"/>
        <w:numFmt w:val="bullet"/>
        <w:lvlText w:val=""/>
        <w:legacy w:legacy="1" w:legacySpace="0" w:legacyIndent="283"/>
        <w:lvlJc w:val="left"/>
        <w:pPr>
          <w:ind w:left="1417" w:hanging="283"/>
        </w:pPr>
        <w:rPr>
          <w:rFonts w:ascii="Courier New" w:hAnsi="Courier New" w:cs="Courier New" w:hint="default"/>
        </w:rPr>
      </w:lvl>
    </w:lvlOverride>
  </w:num>
  <w:num w:numId="16">
    <w:abstractNumId w:val="4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1"/>
  </w:num>
  <w:num w:numId="20">
    <w:abstractNumId w:val="6"/>
  </w:num>
  <w:num w:numId="21">
    <w:abstractNumId w:val="27"/>
  </w:num>
  <w:num w:numId="22">
    <w:abstractNumId w:val="18"/>
  </w:num>
  <w:num w:numId="23">
    <w:abstractNumId w:val="8"/>
  </w:num>
  <w:num w:numId="24">
    <w:abstractNumId w:val="12"/>
  </w:num>
  <w:num w:numId="25">
    <w:abstractNumId w:val="13"/>
  </w:num>
  <w:num w:numId="26">
    <w:abstractNumId w:val="36"/>
  </w:num>
  <w:num w:numId="27">
    <w:abstractNumId w:val="9"/>
  </w:num>
  <w:num w:numId="28">
    <w:abstractNumId w:val="14"/>
  </w:num>
  <w:num w:numId="29">
    <w:abstractNumId w:val="22"/>
  </w:num>
  <w:num w:numId="30">
    <w:abstractNumId w:val="3"/>
  </w:num>
  <w:num w:numId="31">
    <w:abstractNumId w:val="25"/>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41"/>
  </w:num>
  <w:num w:numId="34">
    <w:abstractNumId w:val="37"/>
  </w:num>
  <w:num w:numId="35">
    <w:abstractNumId w:val="35"/>
  </w:num>
  <w:num w:numId="36">
    <w:abstractNumId w:val="34"/>
  </w:num>
  <w:num w:numId="37">
    <w:abstractNumId w:val="11"/>
  </w:num>
  <w:num w:numId="38">
    <w:abstractNumId w:val="26"/>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6"/>
  </w:num>
  <w:num w:numId="43">
    <w:abstractNumId w:val="10"/>
  </w:num>
  <w:num w:numId="44">
    <w:abstractNumId w:val="7"/>
  </w:num>
  <w:num w:numId="45">
    <w:abstractNumId w:val="23"/>
  </w:num>
  <w:num w:numId="46">
    <w:abstractNumId w:val="1"/>
  </w:num>
  <w:num w:numId="47">
    <w:abstractNumId w:val="21"/>
  </w:num>
  <w:num w:numId="48">
    <w:abstractNumId w:val="28"/>
  </w:num>
  <w:num w:numId="49">
    <w:abstractNumId w:val="33"/>
  </w:num>
  <w:num w:numId="5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560"/>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0EA"/>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4D1"/>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813"/>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772A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D77EC"/>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326D"/>
    <w:rsid w:val="00234074"/>
    <w:rsid w:val="00234A22"/>
    <w:rsid w:val="00234CC2"/>
    <w:rsid w:val="00235BDA"/>
    <w:rsid w:val="002362AE"/>
    <w:rsid w:val="0023674C"/>
    <w:rsid w:val="00237340"/>
    <w:rsid w:val="002374EE"/>
    <w:rsid w:val="00237C0C"/>
    <w:rsid w:val="00241173"/>
    <w:rsid w:val="0024145D"/>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295C"/>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62A4"/>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6E19"/>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2ED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300C"/>
    <w:rsid w:val="00323BCF"/>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47AA"/>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083"/>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6ED"/>
    <w:rsid w:val="004907B9"/>
    <w:rsid w:val="004907C1"/>
    <w:rsid w:val="00491E83"/>
    <w:rsid w:val="004926AD"/>
    <w:rsid w:val="004928EF"/>
    <w:rsid w:val="00492959"/>
    <w:rsid w:val="00493099"/>
    <w:rsid w:val="00493266"/>
    <w:rsid w:val="00493F65"/>
    <w:rsid w:val="00495202"/>
    <w:rsid w:val="00495F27"/>
    <w:rsid w:val="004962EB"/>
    <w:rsid w:val="004962EC"/>
    <w:rsid w:val="00496433"/>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E7F7B"/>
    <w:rsid w:val="004F05E7"/>
    <w:rsid w:val="004F0707"/>
    <w:rsid w:val="004F0A0A"/>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C88"/>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4FF3"/>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E37"/>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4BE4"/>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0BC"/>
    <w:rsid w:val="00667487"/>
    <w:rsid w:val="0067141B"/>
    <w:rsid w:val="00673EF7"/>
    <w:rsid w:val="00674E3E"/>
    <w:rsid w:val="00674F79"/>
    <w:rsid w:val="00674F84"/>
    <w:rsid w:val="0067510C"/>
    <w:rsid w:val="006751B0"/>
    <w:rsid w:val="00675FCE"/>
    <w:rsid w:val="00677412"/>
    <w:rsid w:val="006801C7"/>
    <w:rsid w:val="00680483"/>
    <w:rsid w:val="00680D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AF4"/>
    <w:rsid w:val="006A6B99"/>
    <w:rsid w:val="006A7112"/>
    <w:rsid w:val="006A7303"/>
    <w:rsid w:val="006B0700"/>
    <w:rsid w:val="006B0A08"/>
    <w:rsid w:val="006B0CA7"/>
    <w:rsid w:val="006B1D5C"/>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3C1D"/>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4D4A"/>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229"/>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66CE"/>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CBB"/>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A12F7"/>
    <w:rsid w:val="008A16FD"/>
    <w:rsid w:val="008A3DD6"/>
    <w:rsid w:val="008A3E1A"/>
    <w:rsid w:val="008A55EE"/>
    <w:rsid w:val="008A5A83"/>
    <w:rsid w:val="008A5D64"/>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10507"/>
    <w:rsid w:val="00911251"/>
    <w:rsid w:val="00911BBF"/>
    <w:rsid w:val="009121E6"/>
    <w:rsid w:val="00913873"/>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CFE"/>
    <w:rsid w:val="0093068D"/>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C88"/>
    <w:rsid w:val="00951DA4"/>
    <w:rsid w:val="009520FE"/>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7D2"/>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97B"/>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351"/>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728"/>
    <w:rsid w:val="00A92944"/>
    <w:rsid w:val="00A949DC"/>
    <w:rsid w:val="00A94C5A"/>
    <w:rsid w:val="00A94FFD"/>
    <w:rsid w:val="00A9592F"/>
    <w:rsid w:val="00A96831"/>
    <w:rsid w:val="00A96EB4"/>
    <w:rsid w:val="00A97B12"/>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571"/>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4C6"/>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595"/>
    <w:rsid w:val="00B55802"/>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E5F"/>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5DB4"/>
    <w:rsid w:val="00BD655C"/>
    <w:rsid w:val="00BD699C"/>
    <w:rsid w:val="00BE0AD2"/>
    <w:rsid w:val="00BE0B9B"/>
    <w:rsid w:val="00BE10FD"/>
    <w:rsid w:val="00BE17E5"/>
    <w:rsid w:val="00BE2AC9"/>
    <w:rsid w:val="00BE2F0D"/>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116BF"/>
    <w:rsid w:val="00C11974"/>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4FB2"/>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841"/>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5DA"/>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0CD6"/>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B9C"/>
    <w:rsid w:val="00D8779B"/>
    <w:rsid w:val="00D87AEB"/>
    <w:rsid w:val="00D87CC2"/>
    <w:rsid w:val="00D90EAE"/>
    <w:rsid w:val="00D923BF"/>
    <w:rsid w:val="00D92470"/>
    <w:rsid w:val="00D94C30"/>
    <w:rsid w:val="00D95EE6"/>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B0E"/>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7F9"/>
    <w:rsid w:val="00E57964"/>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397A"/>
    <w:rsid w:val="00EA431B"/>
    <w:rsid w:val="00EA46FF"/>
    <w:rsid w:val="00EA475B"/>
    <w:rsid w:val="00EA564F"/>
    <w:rsid w:val="00EA60DB"/>
    <w:rsid w:val="00EA650D"/>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4F91"/>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873"/>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9138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87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1"/>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1"/>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2"/>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3"/>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4"/>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2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2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25"/>
      </w:numPr>
      <w:spacing w:before="480" w:after="240"/>
    </w:pPr>
    <w:rPr>
      <w:b/>
      <w:caps/>
      <w:szCs w:val="24"/>
    </w:rPr>
  </w:style>
  <w:style w:type="paragraph" w:customStyle="1" w:styleId="ECCAnnexheading3">
    <w:name w:val="ECC Annex heading3"/>
    <w:basedOn w:val="Normal"/>
    <w:next w:val="Normal"/>
    <w:rsid w:val="00A8391A"/>
    <w:pPr>
      <w:numPr>
        <w:ilvl w:val="2"/>
        <w:numId w:val="25"/>
      </w:numPr>
      <w:spacing w:before="360" w:after="120"/>
    </w:pPr>
    <w:rPr>
      <w:b/>
      <w:szCs w:val="24"/>
    </w:rPr>
  </w:style>
  <w:style w:type="paragraph" w:customStyle="1" w:styleId="ECCAnnexheading4">
    <w:name w:val="ECC Annex heading4"/>
    <w:basedOn w:val="Normal"/>
    <w:next w:val="Normal"/>
    <w:rsid w:val="00A8391A"/>
    <w:pPr>
      <w:numPr>
        <w:ilvl w:val="3"/>
        <w:numId w:val="2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9190</TotalTime>
  <Pages>2</Pages>
  <Words>582</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266</cp:revision>
  <cp:lastPrinted>2001-04-23T09:30:00Z</cp:lastPrinted>
  <dcterms:created xsi:type="dcterms:W3CDTF">2020-10-15T14:48:00Z</dcterms:created>
  <dcterms:modified xsi:type="dcterms:W3CDTF">2021-10-22T16:22:00Z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